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6D" w:rsidRDefault="0021346D" w:rsidP="00213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21346D" w:rsidRDefault="0021346D" w:rsidP="0021346D">
      <w:pPr>
        <w:tabs>
          <w:tab w:val="left" w:pos="156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обществена поръчка с предмет: „Предоставяне на куриерски услуги за нуждите на Държавна агенция за метрологичен и технически надзор“, провеждана въз основа на сключено Рамково с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поразумение № СПОР-26/04.10.2017 г.</w:t>
      </w:r>
    </w:p>
    <w:p w:rsidR="0021346D" w:rsidRDefault="0021346D" w:rsidP="0021346D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46D" w:rsidRDefault="0021346D" w:rsidP="002134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Предметът на обществената поръчка включва приемане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(вземане от адреса на Възложителя),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пренасяне (транспортиране) и доставка до получателя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(от врата до врата) на куриерски  пратки от и на адресите на Възложителя посочени в Приложение №4 към поканата за участие и договора. Въз основата на проведения вътрешен конкурентен избор Възложителят ще сключи договор по реда на чл. 82, ал. 3 и 4 от ЗОП.</w:t>
      </w:r>
    </w:p>
    <w:p w:rsidR="0021346D" w:rsidRDefault="0021346D" w:rsidP="0021346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-2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на обществената поръчка. </w:t>
      </w:r>
      <w:r>
        <w:rPr>
          <w:rFonts w:ascii="Times New Roman" w:eastAsia="Times New Roman" w:hAnsi="Times New Roman" w:cs="Times New Roman"/>
          <w:sz w:val="24"/>
          <w:szCs w:val="24"/>
        </w:rPr>
        <w:t>Предметът на настоящата поръчка включва следните куриерски услуги:</w:t>
      </w:r>
    </w:p>
    <w:p w:rsidR="0021346D" w:rsidRDefault="0021346D" w:rsidP="0021346D">
      <w:pPr>
        <w:pStyle w:val="a3"/>
        <w:ind w:left="69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1. Градски и междуградски куриерски услуги;</w:t>
      </w:r>
    </w:p>
    <w:p w:rsidR="0021346D" w:rsidRDefault="0021346D" w:rsidP="0021346D">
      <w:pPr>
        <w:pStyle w:val="a3"/>
        <w:ind w:left="69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2. Международни куриерски услуги;</w:t>
      </w:r>
    </w:p>
    <w:p w:rsidR="0021346D" w:rsidRDefault="0021346D" w:rsidP="0021346D">
      <w:pPr>
        <w:pStyle w:val="a3"/>
        <w:ind w:left="69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3. Допълнителни услуги (при необходимост и с предварителна заявка);</w:t>
      </w:r>
    </w:p>
    <w:p w:rsidR="0021346D" w:rsidRDefault="0021346D" w:rsidP="00213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 необходимост предаването и/или приемането на куриерските пратки може да става по график.</w:t>
      </w:r>
    </w:p>
    <w:p w:rsidR="0021346D" w:rsidRDefault="0021346D" w:rsidP="0021346D">
      <w:pPr>
        <w:pStyle w:val="a3"/>
        <w:tabs>
          <w:tab w:val="left" w:pos="284"/>
          <w:tab w:val="left" w:pos="426"/>
        </w:tabs>
        <w:spacing w:after="0" w:line="240" w:lineRule="auto"/>
        <w:ind w:left="6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1.1. Прогнозни количества: 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478"/>
        <w:gridCol w:w="4192"/>
      </w:tblGrid>
      <w:tr w:rsidR="0021346D" w:rsidTr="0021346D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6D" w:rsidRDefault="0021346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bg-BG"/>
              </w:rPr>
            </w:pPr>
            <w:r>
              <w:rPr>
                <w:b/>
                <w:sz w:val="24"/>
                <w:szCs w:val="24"/>
                <w:lang w:eastAsia="bg-BG"/>
              </w:rPr>
              <w:t>Вид услуга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6D" w:rsidRDefault="0021346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bg-BG"/>
              </w:rPr>
            </w:pPr>
            <w:r>
              <w:rPr>
                <w:b/>
                <w:sz w:val="24"/>
                <w:szCs w:val="24"/>
                <w:lang w:eastAsia="bg-BG"/>
              </w:rPr>
              <w:t>Прогнозно количество</w:t>
            </w:r>
          </w:p>
        </w:tc>
      </w:tr>
      <w:tr w:rsidR="0021346D" w:rsidTr="0021346D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6D" w:rsidRDefault="0021346D">
            <w:pPr>
              <w:spacing w:after="0" w:line="240" w:lineRule="auto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[KOБ3] Обикновена куриерска услуга (от врата до врата) в рамките на едно населено място за пратки от 1 до 2 кг.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6D" w:rsidRDefault="0021346D">
            <w:pPr>
              <w:spacing w:after="0" w:line="240" w:lineRule="auto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40 бр.</w:t>
            </w:r>
          </w:p>
        </w:tc>
      </w:tr>
      <w:tr w:rsidR="0021346D" w:rsidTr="0021346D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6D" w:rsidRDefault="0021346D">
            <w:pPr>
              <w:spacing w:after="0" w:line="240" w:lineRule="auto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[КОБ1] Обикновена куриерска услуга (от врата до врата) в рамките на едно населено място за пратки до 500 гр. /документални пратки/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6D" w:rsidRPr="000F347E" w:rsidRDefault="00C61D56">
            <w:pPr>
              <w:spacing w:after="0" w:line="240" w:lineRule="auto"/>
              <w:jc w:val="center"/>
              <w:rPr>
                <w:sz w:val="24"/>
                <w:szCs w:val="24"/>
                <w:lang w:eastAsia="bg-BG"/>
              </w:rPr>
            </w:pPr>
            <w:r w:rsidRPr="000F347E">
              <w:rPr>
                <w:sz w:val="24"/>
                <w:szCs w:val="24"/>
                <w:lang w:eastAsia="bg-BG"/>
              </w:rPr>
              <w:t>1000</w:t>
            </w:r>
            <w:r w:rsidR="0021346D" w:rsidRPr="000F347E">
              <w:rPr>
                <w:sz w:val="24"/>
                <w:szCs w:val="24"/>
                <w:lang w:eastAsia="bg-BG"/>
              </w:rPr>
              <w:t xml:space="preserve"> бр.</w:t>
            </w:r>
          </w:p>
        </w:tc>
      </w:tr>
      <w:tr w:rsidR="0021346D" w:rsidTr="0021346D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6D" w:rsidRDefault="0021346D">
            <w:pPr>
              <w:spacing w:after="0" w:line="240" w:lineRule="auto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[КОБ2] Обикновена куриерска услуга (от врата до врата) в рамките на едно населено място за пратки от 501 гр. до 1000 гр.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6D" w:rsidRPr="000F347E" w:rsidRDefault="0021346D">
            <w:pPr>
              <w:spacing w:after="0" w:line="240" w:lineRule="auto"/>
              <w:jc w:val="center"/>
              <w:rPr>
                <w:sz w:val="24"/>
                <w:szCs w:val="24"/>
                <w:lang w:eastAsia="bg-BG"/>
              </w:rPr>
            </w:pPr>
            <w:r w:rsidRPr="000F347E">
              <w:rPr>
                <w:sz w:val="24"/>
                <w:szCs w:val="24"/>
                <w:lang w:eastAsia="bg-BG"/>
              </w:rPr>
              <w:t>40 бр.</w:t>
            </w:r>
          </w:p>
        </w:tc>
      </w:tr>
      <w:tr w:rsidR="0021346D" w:rsidTr="0021346D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6D" w:rsidRDefault="0021346D">
            <w:pPr>
              <w:spacing w:after="0" w:line="240" w:lineRule="auto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[КОБ4] Обикновена куриерска услуга (от врата до врата) в рамките на едно населено място за пратки от 2 до 3 кг.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6D" w:rsidRPr="000F347E" w:rsidRDefault="0021346D">
            <w:pPr>
              <w:spacing w:after="0" w:line="240" w:lineRule="auto"/>
              <w:jc w:val="center"/>
              <w:rPr>
                <w:sz w:val="24"/>
                <w:szCs w:val="24"/>
                <w:lang w:eastAsia="bg-BG"/>
              </w:rPr>
            </w:pPr>
            <w:r w:rsidRPr="000F347E">
              <w:rPr>
                <w:sz w:val="24"/>
                <w:szCs w:val="24"/>
                <w:lang w:eastAsia="bg-BG"/>
              </w:rPr>
              <w:t>40 бр.</w:t>
            </w:r>
          </w:p>
        </w:tc>
      </w:tr>
      <w:tr w:rsidR="0021346D" w:rsidTr="0021346D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6D" w:rsidRDefault="0021346D">
            <w:pPr>
              <w:spacing w:after="0" w:line="240" w:lineRule="auto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[КОБ5] Обикновена куриерска услуга (от врата до врата) в рамките на едно населено място за пратки от 3 до 4  кг.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6D" w:rsidRPr="000F347E" w:rsidRDefault="0021346D">
            <w:pPr>
              <w:spacing w:after="0" w:line="240" w:lineRule="auto"/>
              <w:jc w:val="center"/>
              <w:rPr>
                <w:sz w:val="24"/>
                <w:szCs w:val="24"/>
                <w:lang w:eastAsia="bg-BG"/>
              </w:rPr>
            </w:pPr>
            <w:r w:rsidRPr="000F347E">
              <w:rPr>
                <w:sz w:val="24"/>
                <w:szCs w:val="24"/>
                <w:lang w:eastAsia="bg-BG"/>
              </w:rPr>
              <w:t>40 бр.</w:t>
            </w:r>
          </w:p>
        </w:tc>
      </w:tr>
      <w:tr w:rsidR="0021346D" w:rsidTr="0021346D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6D" w:rsidRDefault="0021346D">
            <w:pPr>
              <w:spacing w:after="0" w:line="240" w:lineRule="auto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[КОБ6] Обикновена куриерска услуга (от врата до врата) в рамките на едно населено място за пратки от 4 до 5 кг.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6D" w:rsidRPr="000F347E" w:rsidRDefault="0021346D">
            <w:pPr>
              <w:spacing w:after="0" w:line="240" w:lineRule="auto"/>
              <w:jc w:val="center"/>
              <w:rPr>
                <w:sz w:val="24"/>
                <w:szCs w:val="24"/>
                <w:lang w:eastAsia="bg-BG"/>
              </w:rPr>
            </w:pPr>
            <w:r w:rsidRPr="000F347E">
              <w:rPr>
                <w:sz w:val="24"/>
                <w:szCs w:val="24"/>
                <w:lang w:eastAsia="bg-BG"/>
              </w:rPr>
              <w:t>40 бр.</w:t>
            </w:r>
          </w:p>
        </w:tc>
      </w:tr>
      <w:tr w:rsidR="0021346D" w:rsidTr="0021346D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6D" w:rsidRDefault="0021346D">
            <w:pPr>
              <w:spacing w:after="0" w:line="240" w:lineRule="auto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[КОБб2] Обикновена куриерска услуга (от врата до врата) между различни населени места за пратки до 500 гр. /документални пратки/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6D" w:rsidRPr="000F347E" w:rsidRDefault="0021346D" w:rsidP="00C61D56">
            <w:pPr>
              <w:spacing w:after="0" w:line="240" w:lineRule="auto"/>
              <w:jc w:val="center"/>
              <w:rPr>
                <w:sz w:val="24"/>
                <w:szCs w:val="24"/>
                <w:lang w:eastAsia="bg-BG"/>
              </w:rPr>
            </w:pPr>
            <w:r w:rsidRPr="000F347E">
              <w:rPr>
                <w:sz w:val="24"/>
                <w:szCs w:val="24"/>
                <w:lang w:eastAsia="bg-BG"/>
              </w:rPr>
              <w:t>1</w:t>
            </w:r>
            <w:r w:rsidR="00C61D56" w:rsidRPr="000F347E">
              <w:rPr>
                <w:sz w:val="24"/>
                <w:szCs w:val="24"/>
                <w:lang w:eastAsia="bg-BG"/>
              </w:rPr>
              <w:t>4</w:t>
            </w:r>
            <w:r w:rsidRPr="000F347E">
              <w:rPr>
                <w:sz w:val="24"/>
                <w:szCs w:val="24"/>
                <w:lang w:eastAsia="bg-BG"/>
              </w:rPr>
              <w:t>00 бр.</w:t>
            </w:r>
          </w:p>
        </w:tc>
      </w:tr>
      <w:tr w:rsidR="0021346D" w:rsidTr="0021346D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6D" w:rsidRDefault="0021346D">
            <w:pPr>
              <w:spacing w:after="0" w:line="240" w:lineRule="auto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 xml:space="preserve">[КОБб3] Обикновена куриерска услуга (от врата до врата) между различни </w:t>
            </w:r>
            <w:r>
              <w:rPr>
                <w:sz w:val="24"/>
                <w:szCs w:val="24"/>
                <w:lang w:eastAsia="bg-BG"/>
              </w:rPr>
              <w:lastRenderedPageBreak/>
              <w:t>населени места за пратки от 501 до 1000 гр.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6D" w:rsidRDefault="0021346D">
            <w:pPr>
              <w:spacing w:after="0" w:line="240" w:lineRule="auto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lastRenderedPageBreak/>
              <w:t>40 бр.</w:t>
            </w:r>
          </w:p>
        </w:tc>
      </w:tr>
      <w:tr w:rsidR="0021346D" w:rsidTr="0021346D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6D" w:rsidRDefault="0021346D">
            <w:pPr>
              <w:spacing w:after="0" w:line="240" w:lineRule="auto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[КОБб4] Обикновена куриерска услуга (от врата до врата) между различни населени места за пратки от 1 до 2кг.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6D" w:rsidRDefault="0021346D">
            <w:pPr>
              <w:spacing w:after="0" w:line="240" w:lineRule="auto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40 бр.</w:t>
            </w:r>
          </w:p>
        </w:tc>
      </w:tr>
      <w:tr w:rsidR="0021346D" w:rsidTr="0021346D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6D" w:rsidRDefault="0021346D">
            <w:pPr>
              <w:tabs>
                <w:tab w:val="left" w:pos="1875"/>
              </w:tabs>
              <w:spacing w:after="0" w:line="240" w:lineRule="auto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[КОБб5] Обикновена куриерска услуга (от врата до врата) между различни населени места за пратки от 2 до 3 кг.</w:t>
            </w:r>
            <w:r>
              <w:rPr>
                <w:sz w:val="24"/>
                <w:szCs w:val="24"/>
                <w:lang w:eastAsia="bg-BG"/>
              </w:rPr>
              <w:tab/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6D" w:rsidRDefault="0021346D">
            <w:pPr>
              <w:spacing w:after="0" w:line="240" w:lineRule="auto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40 бр.</w:t>
            </w:r>
          </w:p>
        </w:tc>
      </w:tr>
      <w:tr w:rsidR="0021346D" w:rsidTr="0021346D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6D" w:rsidRDefault="0021346D">
            <w:pPr>
              <w:spacing w:after="0" w:line="240" w:lineRule="auto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[КОБб6] Обикновена куриерска услуга (от врата до врата) между различни населени места за пратки от 3 до 4 кг.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6D" w:rsidRDefault="0021346D">
            <w:pPr>
              <w:spacing w:after="0" w:line="240" w:lineRule="auto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40 бр.</w:t>
            </w:r>
          </w:p>
        </w:tc>
      </w:tr>
      <w:tr w:rsidR="0021346D" w:rsidTr="0021346D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6D" w:rsidRDefault="0021346D">
            <w:pPr>
              <w:tabs>
                <w:tab w:val="left" w:pos="1485"/>
              </w:tabs>
              <w:spacing w:after="0" w:line="240" w:lineRule="auto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[КОБб7] Обикновена куриерска услуга (от врата до врата) между различни населени места за пратки от 4 до 5 кг.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6D" w:rsidRDefault="0021346D">
            <w:pPr>
              <w:spacing w:after="0" w:line="240" w:lineRule="auto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40 бр.</w:t>
            </w:r>
          </w:p>
        </w:tc>
      </w:tr>
      <w:tr w:rsidR="0021346D" w:rsidTr="0021346D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6D" w:rsidRDefault="0021346D">
            <w:pPr>
              <w:spacing w:after="0" w:line="240" w:lineRule="auto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[КОБб8] Обикновена куриерска услуга (от врата до врата) между различни населени места за пратки от 5 до 6 кг.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6D" w:rsidRDefault="0021346D">
            <w:pPr>
              <w:spacing w:after="0" w:line="240" w:lineRule="auto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15 бр.</w:t>
            </w:r>
          </w:p>
        </w:tc>
      </w:tr>
      <w:tr w:rsidR="0021346D" w:rsidTr="0021346D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6D" w:rsidRDefault="0021346D">
            <w:pPr>
              <w:spacing w:after="0" w:line="240" w:lineRule="auto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[КОБб9] Обикновена куриерска услуга (от врата до врата) между различни населени места за пратки от 6 до 7 кг.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6D" w:rsidRDefault="0021346D">
            <w:pPr>
              <w:spacing w:after="0" w:line="240" w:lineRule="auto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15 бр.</w:t>
            </w:r>
          </w:p>
        </w:tc>
      </w:tr>
      <w:tr w:rsidR="0021346D" w:rsidTr="0021346D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6D" w:rsidRDefault="0021346D">
            <w:pPr>
              <w:spacing w:after="0" w:line="240" w:lineRule="auto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[КОБбб10] Обикновена куриерска услуга (от врата до врата) между различни населени места за пратки от 7 до 8 кг.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6D" w:rsidRDefault="0021346D">
            <w:pPr>
              <w:spacing w:after="0" w:line="240" w:lineRule="auto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15 бр.</w:t>
            </w:r>
          </w:p>
        </w:tc>
      </w:tr>
      <w:tr w:rsidR="0021346D" w:rsidTr="0021346D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6D" w:rsidRDefault="0021346D">
            <w:pPr>
              <w:spacing w:after="0" w:line="240" w:lineRule="auto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[КОБбб11] Обикновена куриерска услуга (от врата до врата) между различни населени места за пратки от 8 до 9 кг.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6D" w:rsidRDefault="0021346D">
            <w:pPr>
              <w:spacing w:after="0" w:line="240" w:lineRule="auto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15 бр.</w:t>
            </w:r>
          </w:p>
        </w:tc>
      </w:tr>
      <w:tr w:rsidR="0021346D" w:rsidTr="0021346D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6D" w:rsidRDefault="0021346D">
            <w:pPr>
              <w:spacing w:after="0" w:line="240" w:lineRule="auto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[КОБбб12] Обикновена куриерска услуга (от врата до врата) между различни населени места за пратки от 9 до 10 кг.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6D" w:rsidRDefault="0021346D">
            <w:pPr>
              <w:spacing w:after="0" w:line="240" w:lineRule="auto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15 бр.</w:t>
            </w:r>
          </w:p>
        </w:tc>
      </w:tr>
      <w:tr w:rsidR="0021346D" w:rsidTr="0021346D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6D" w:rsidRDefault="0021346D">
            <w:pPr>
              <w:spacing w:after="0" w:line="240" w:lineRule="auto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[КЕП1] Експресна куриерска услуга (от врата до врата) в рамките на едно населено място за пратки до 500 гр. /документални пратки/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6D" w:rsidRDefault="0021346D">
            <w:pPr>
              <w:spacing w:after="0" w:line="240" w:lineRule="auto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 xml:space="preserve">90 бр. </w:t>
            </w:r>
          </w:p>
        </w:tc>
      </w:tr>
      <w:tr w:rsidR="0021346D" w:rsidTr="0021346D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6D" w:rsidRDefault="0021346D">
            <w:pPr>
              <w:spacing w:after="0" w:line="240" w:lineRule="auto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[КЕПб1] Експресна куриерска услуга (от врата до врата) между различни населени места за пратки до 500 гр. /документални/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6D" w:rsidRDefault="0021346D">
            <w:pPr>
              <w:spacing w:after="0" w:line="240" w:lineRule="auto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 xml:space="preserve">30 бр. </w:t>
            </w:r>
          </w:p>
        </w:tc>
      </w:tr>
      <w:tr w:rsidR="0021346D" w:rsidTr="0021346D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6D" w:rsidRDefault="0021346D">
            <w:pPr>
              <w:spacing w:after="0" w:line="240" w:lineRule="auto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[КЕПб3] Експресна куриерска услуга (от врата до врата) между различни населени места за пратки от 1  до 2 кг.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6D" w:rsidRDefault="0021346D">
            <w:pPr>
              <w:spacing w:after="0" w:line="240" w:lineRule="auto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25 бр.</w:t>
            </w:r>
          </w:p>
        </w:tc>
      </w:tr>
      <w:tr w:rsidR="0021346D" w:rsidTr="0021346D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6D" w:rsidRDefault="0021346D">
            <w:pPr>
              <w:spacing w:after="0" w:line="240" w:lineRule="auto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[КЕПЕВ_01] Експресни куриерски услуги в държави в ЕС за пратки до 500 гр.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6D" w:rsidRDefault="0021346D">
            <w:pPr>
              <w:spacing w:after="0" w:line="240" w:lineRule="auto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15 бр.</w:t>
            </w:r>
          </w:p>
        </w:tc>
      </w:tr>
      <w:tr w:rsidR="0021346D" w:rsidRPr="000F347E" w:rsidTr="0021346D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6D" w:rsidRPr="000F347E" w:rsidRDefault="0021346D">
            <w:pPr>
              <w:spacing w:after="0" w:line="240" w:lineRule="auto"/>
              <w:jc w:val="both"/>
              <w:rPr>
                <w:sz w:val="24"/>
                <w:szCs w:val="24"/>
                <w:lang w:eastAsia="bg-BG"/>
              </w:rPr>
            </w:pPr>
            <w:r w:rsidRPr="000F347E">
              <w:rPr>
                <w:sz w:val="24"/>
                <w:szCs w:val="24"/>
                <w:lang w:eastAsia="bg-BG"/>
              </w:rPr>
              <w:t>[8.ДУК] Допълнителна услуга Обратна разписка /за вътрешни куриерски услуги/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6D" w:rsidRPr="000F347E" w:rsidRDefault="00C61D56" w:rsidP="00C61D56">
            <w:pPr>
              <w:spacing w:after="0" w:line="240" w:lineRule="auto"/>
              <w:jc w:val="center"/>
              <w:rPr>
                <w:sz w:val="24"/>
                <w:szCs w:val="24"/>
                <w:lang w:eastAsia="bg-BG"/>
              </w:rPr>
            </w:pPr>
            <w:r w:rsidRPr="000F347E">
              <w:rPr>
                <w:sz w:val="24"/>
                <w:szCs w:val="24"/>
                <w:lang w:eastAsia="bg-BG"/>
              </w:rPr>
              <w:t>2550</w:t>
            </w:r>
            <w:r w:rsidR="0021346D" w:rsidRPr="000F347E">
              <w:rPr>
                <w:sz w:val="24"/>
                <w:szCs w:val="24"/>
                <w:lang w:eastAsia="bg-BG"/>
              </w:rPr>
              <w:t xml:space="preserve"> бр.</w:t>
            </w:r>
          </w:p>
        </w:tc>
      </w:tr>
    </w:tbl>
    <w:p w:rsidR="0021346D" w:rsidRDefault="0021346D" w:rsidP="0021346D">
      <w:pPr>
        <w:suppressAutoHyphens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34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Забележка: Броят на куриерските услуги е </w:t>
      </w:r>
      <w:r w:rsidRPr="000F34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прогнозен</w:t>
      </w:r>
      <w:r w:rsidRPr="000F34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Възложителят не се задължава да ги заяви в посочените количества!</w:t>
      </w:r>
    </w:p>
    <w:p w:rsidR="0021346D" w:rsidRDefault="0021346D" w:rsidP="0021346D">
      <w:pPr>
        <w:tabs>
          <w:tab w:val="left" w:pos="993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OLE_LINK3"/>
      <w:bookmarkStart w:id="2" w:name="OLE_LINK2"/>
      <w:bookmarkStart w:id="3" w:name="OLE_LINK177"/>
      <w:bookmarkStart w:id="4" w:name="OLE_LINK176"/>
      <w:bookmarkStart w:id="5" w:name="OLE_LINK181"/>
      <w:bookmarkStart w:id="6" w:name="OLE_LINK182"/>
      <w:bookmarkStart w:id="7" w:name="OLE_LINK183"/>
    </w:p>
    <w:p w:rsidR="0021346D" w:rsidRDefault="0021346D" w:rsidP="0021346D">
      <w:pPr>
        <w:spacing w:after="0" w:line="240" w:lineRule="auto"/>
        <w:ind w:left="-142" w:right="-28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OLE_LINK20"/>
      <w:bookmarkStart w:id="9" w:name="OLE_LINK19"/>
      <w:bookmarkEnd w:id="1"/>
      <w:bookmarkEnd w:id="2"/>
      <w:bookmarkEnd w:id="3"/>
      <w:bookmarkEnd w:id="4"/>
      <w:r>
        <w:rPr>
          <w:rFonts w:ascii="Times New Roman" w:eastAsia="Calibri" w:hAnsi="Times New Roman" w:cs="Times New Roman"/>
          <w:b/>
          <w:sz w:val="24"/>
          <w:szCs w:val="24"/>
        </w:rPr>
        <w:tab/>
        <w:t>II. Изисквания към изпълнението на поръчката:</w:t>
      </w:r>
    </w:p>
    <w:bookmarkEnd w:id="8"/>
    <w:bookmarkEnd w:id="9"/>
    <w:p w:rsidR="0021346D" w:rsidRDefault="0021346D" w:rsidP="0021346D">
      <w:pPr>
        <w:spacing w:after="0" w:line="240" w:lineRule="auto"/>
        <w:ind w:right="-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Участникът, определен за изпълнител по обществената поръчка следва да изпълни следните изисквания на Възложителя:</w:t>
      </w:r>
      <w:bookmarkStart w:id="10" w:name="OLE_LINK133"/>
    </w:p>
    <w:p w:rsidR="0021346D" w:rsidRDefault="0021346D" w:rsidP="0021346D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Да извършва куриерски услуги на територията на страната и чужбина по поръчка на Възложителя.</w:t>
      </w:r>
    </w:p>
    <w:p w:rsidR="0021346D" w:rsidRDefault="0021346D" w:rsidP="0021346D">
      <w:pPr>
        <w:tabs>
          <w:tab w:val="left" w:pos="993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Да приема куриерски пратки от адресите на Възложителя, посочени в Приложение № 4 към поканата за участие и договора по обществената поръчка ежедневно, във вид с ненарушена цялост, запечатани, в сроковете, уговорени с Възложителя. При необходимост предаването и/или приемането на куриерските пратки може да става по график.</w:t>
      </w:r>
    </w:p>
    <w:p w:rsidR="0021346D" w:rsidRDefault="0021346D" w:rsidP="0021346D">
      <w:pPr>
        <w:spacing w:after="0" w:line="240" w:lineRule="auto"/>
        <w:ind w:right="-28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Да доставя куриерски пратки на получателите, посочени от Възложителя, на ръка срещу подпис, в сроковете, уговорени с Възложителя, във вид с ненарушена цялост, запечатани,  придружени с товарителница.</w:t>
      </w:r>
    </w:p>
    <w:p w:rsidR="0021346D" w:rsidRDefault="0021346D" w:rsidP="0021346D">
      <w:pPr>
        <w:spacing w:after="0" w:line="240" w:lineRule="auto"/>
        <w:ind w:right="-28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Да извършва връчването на куриерските пратки лично на адресата срещу подпис, като отбелязва датата и часа на връчване.</w:t>
      </w:r>
    </w:p>
    <w:p w:rsidR="0021346D" w:rsidRDefault="0021346D" w:rsidP="0021346D">
      <w:pPr>
        <w:spacing w:after="0" w:line="240" w:lineRule="auto"/>
        <w:ind w:right="-28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а/ за служебен адрес - срещу подпис на лице с месторабота на адреса, като се отбелязват имената, длъжността / отдела на лицето, получило пратката, датата и часа на връчване;</w:t>
      </w:r>
    </w:p>
    <w:p w:rsidR="0021346D" w:rsidRDefault="0021346D" w:rsidP="0021346D">
      <w:pPr>
        <w:spacing w:after="0" w:line="240" w:lineRule="auto"/>
        <w:ind w:right="-28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б/ за домашен адрес – срещу подпис на член от домакинството, като се отбелязват имената на лицето, получило пратката,  датата и часа на връчване.</w:t>
      </w:r>
    </w:p>
    <w:p w:rsidR="0021346D" w:rsidRDefault="0021346D" w:rsidP="0021346D">
      <w:pPr>
        <w:spacing w:after="0" w:line="240" w:lineRule="auto"/>
        <w:ind w:right="-28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Да връща незабавно като доказателство за връчване оригинали на товарителниците оформени по начин, отговарящ на изискванията за връчване, регламентирани в нормативната уредба отнасяща се до Възложителя. </w:t>
      </w:r>
    </w:p>
    <w:p w:rsidR="0021346D" w:rsidRDefault="0021346D" w:rsidP="0021346D">
      <w:pPr>
        <w:spacing w:after="0" w:line="240" w:lineRule="auto"/>
        <w:ind w:right="-28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>При невъзможност за връчване на пратката при първо посещение, куриер на Изпълнителя да оставя известие, в което да се посочва телефон за връзка с обслужващ офис на Изпълнителя, за уточняване на начина на доставка на пратката.</w:t>
      </w:r>
    </w:p>
    <w:p w:rsidR="0021346D" w:rsidRDefault="0021346D" w:rsidP="0021346D">
      <w:pPr>
        <w:spacing w:after="0" w:line="240" w:lineRule="auto"/>
        <w:ind w:right="-28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подпечатва всяка товарителница  и да я попълва ясно и четливо. </w:t>
      </w:r>
    </w:p>
    <w:p w:rsidR="0021346D" w:rsidRDefault="0021346D" w:rsidP="0021346D">
      <w:pPr>
        <w:spacing w:after="0" w:line="240" w:lineRule="auto"/>
        <w:ind w:right="-28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 не покрива текстовете, изписани от Възложителя или неговите служители върху плика при обработката на куриерските пратки. Да приема само правилно оформени и адресирани куриерски пратки и незабавно да уведомява координатора по договора за възникнали проблеми и нередности от страна на представители на Възложителя. Да предоставя услугите така, че начинът на оформяне и предаване на куриерските пратки от служители на Възложителя да не е определящ за цената  и размера на отстъпките.</w:t>
      </w:r>
    </w:p>
    <w:p w:rsidR="0021346D" w:rsidRDefault="0021346D" w:rsidP="0021346D">
      <w:pPr>
        <w:tabs>
          <w:tab w:val="left" w:pos="993"/>
        </w:tabs>
        <w:spacing w:after="0" w:line="240" w:lineRule="auto"/>
        <w:ind w:right="-288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</w:rPr>
        <w:t>Да предлага стандартни фирмени опаковки за пратките при изисквани такива от страна на Възложителя.</w:t>
      </w:r>
    </w:p>
    <w:p w:rsidR="0021346D" w:rsidRDefault="0021346D" w:rsidP="0021346D">
      <w:pPr>
        <w:tabs>
          <w:tab w:val="left" w:pos="993"/>
        </w:tabs>
        <w:spacing w:after="0" w:line="240" w:lineRule="auto"/>
        <w:ind w:right="-288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shd w:val="clear" w:color="auto" w:fill="FFFFFF"/>
          <w:lang w:eastAsia="bg-BG"/>
        </w:rPr>
        <w:t>10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Предаването и/или приемането на куриерските пратки се извършва въз основа на подписани от Възложителя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и Изпълнителя (техни представители) описи/приемо-предавателни протоколи.</w:t>
      </w:r>
    </w:p>
    <w:p w:rsidR="0021346D" w:rsidRDefault="0021346D" w:rsidP="0021346D">
      <w:pPr>
        <w:tabs>
          <w:tab w:val="left" w:pos="993"/>
        </w:tabs>
        <w:spacing w:after="0" w:line="240" w:lineRule="auto"/>
        <w:ind w:right="-288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</w:rPr>
        <w:t>Да осигурява възможност за проследяване на всяка пратка до връчването й на получателя и получаване на обратна информация за датата, часа и начина на предаване на пратката (включително имената на получателя);</w:t>
      </w:r>
    </w:p>
    <w:p w:rsidR="0021346D" w:rsidRDefault="0021346D" w:rsidP="0021346D">
      <w:pPr>
        <w:spacing w:after="0" w:line="240" w:lineRule="auto"/>
        <w:ind w:right="-288"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връща за своя сметка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едоставени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куриерски пратки на адреса на съответната структура на Възложителя, придружени от справка, в която са посочени причините за недоставяне в срок до 1  (един) месец от настъпване на събитието.</w:t>
      </w:r>
    </w:p>
    <w:p w:rsidR="0021346D" w:rsidRDefault="0021346D" w:rsidP="0021346D">
      <w:pPr>
        <w:spacing w:after="0" w:line="240" w:lineRule="auto"/>
        <w:ind w:right="-28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 предоставя на служителите на Възложителя актуални списъци с телефони за контакт с офисите на Изпълнителя по места.</w:t>
      </w:r>
    </w:p>
    <w:p w:rsidR="0021346D" w:rsidRDefault="0021346D" w:rsidP="0021346D">
      <w:pPr>
        <w:spacing w:after="0" w:line="240" w:lineRule="auto"/>
        <w:ind w:right="-28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bookmarkStart w:id="11" w:name="OLE_LINK25"/>
      <w:r>
        <w:rPr>
          <w:rFonts w:ascii="Times New Roman" w:eastAsia="Times New Roman" w:hAnsi="Times New Roman" w:cs="Times New Roman"/>
          <w:sz w:val="24"/>
          <w:szCs w:val="24"/>
        </w:rPr>
        <w:t xml:space="preserve"> При поискване от координатора по договора за Възложителя, да му предоставя по електронен път информация за количествата на куриерските пратки и колети и изразходваните средства по структури.</w:t>
      </w:r>
    </w:p>
    <w:bookmarkEnd w:id="11"/>
    <w:p w:rsidR="0021346D" w:rsidRDefault="0021346D" w:rsidP="0021346D">
      <w:pPr>
        <w:spacing w:after="0" w:line="240" w:lineRule="auto"/>
        <w:ind w:right="-288" w:firstLine="708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. Изпълнителят следва да обезпечи извършването на международните куриерски пратки до съответните държави. При изрично искане на Възложителя международните пратки се изпращат с предимство.</w:t>
      </w:r>
    </w:p>
    <w:p w:rsidR="0021346D" w:rsidRDefault="0021346D" w:rsidP="0021346D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случай на необходимост, поради законодателна и/или административна промяна на структурата на Възложителя, от допълване на Списъка със структурите по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(Приложение №  4) към поканата и договора, за нуждите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които се предвижда предоставянето на куриерски услуги, в рамките на срока на договора,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ъзложителят уведомява писмено Изпълнителя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промяната в срок не по-дълъг от 10 (десет) работни дни, преди началната дата на започване/спиране или прекратяване на обслужване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46D" w:rsidRDefault="0021346D" w:rsidP="0021346D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случай на необходимост от съкращаване на Списъка със структурите на Възложителя,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поради законодателна и/или административна промяна в структурата му, същият оттегля възлагането на услугата в съответната структура, без да дължи компенсации, в т. ч. финансови.</w:t>
      </w:r>
    </w:p>
    <w:p w:rsidR="0021346D" w:rsidRDefault="0021346D" w:rsidP="0021346D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следва да документира изпълнението на услугите по договора по следния начин:</w:t>
      </w:r>
    </w:p>
    <w:p w:rsidR="0021346D" w:rsidRDefault="0021346D" w:rsidP="00213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съставя дневни и ежемесечни приемателно–предавателни протоколи за администрациите на Възложителя, съгласно уточненото в договора между Изпълнителя и Възложителя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за извършените услуги от обхвата на обществената поръчка през предходния месец; </w:t>
      </w:r>
    </w:p>
    <w:p w:rsidR="0021346D" w:rsidRDefault="0021346D" w:rsidP="00213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18.2</w:t>
      </w:r>
      <w:r>
        <w:rPr>
          <w:rFonts w:ascii="Times New Roman" w:eastAsia="Times New Roman" w:hAnsi="Times New Roman" w:cs="Times New Roman"/>
          <w:sz w:val="24"/>
          <w:szCs w:val="24"/>
        </w:rPr>
        <w:t>. Количествено-стойностната справка да включва информация за предоставените услуги по видовете пратки, техния брой, тегло, единична цена и обща стойност.</w:t>
      </w:r>
    </w:p>
    <w:p w:rsidR="0021346D" w:rsidRDefault="0021346D" w:rsidP="00213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представя, в срок до 7 (седем) дни след изтичане на отчетния календарен месец, съставените ежемесечни приемателно-предавателни протоколи, обобщената количествено-стойностна справка и фактура за извършените куриерски услуги от обхвата на обществената поръчка през предходния месец.</w:t>
      </w:r>
    </w:p>
    <w:p w:rsidR="0021346D" w:rsidRDefault="0021346D" w:rsidP="0021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46D" w:rsidRDefault="0021346D" w:rsidP="00213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2" w:name="OLE_LINK13"/>
      <w:bookmarkStart w:id="13" w:name="OLE_LINK12"/>
      <w:bookmarkStart w:id="14" w:name="OLE_LINK18"/>
      <w:bookmarkStart w:id="15" w:name="OLE_LINK17"/>
      <w:bookmarkStart w:id="16" w:name="OLE_LINK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Допълнителни условия за изпълнение на поръчката: </w:t>
      </w:r>
    </w:p>
    <w:p w:rsidR="0021346D" w:rsidRDefault="0021346D" w:rsidP="0021346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bookmarkStart w:id="17" w:name="OLE_LINK8"/>
      <w:bookmarkStart w:id="18" w:name="OLE_LINK11"/>
      <w:bookmarkStart w:id="19" w:name="OLE_LINK10"/>
      <w:bookmarkEnd w:id="12"/>
      <w:bookmarkEnd w:id="13"/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Участниците следва да декларират, </w:t>
      </w:r>
      <w:bookmarkEnd w:id="17"/>
      <w:r>
        <w:rPr>
          <w:rFonts w:ascii="Times New Roman" w:hAnsi="Times New Roman" w:cs="Times New Roman"/>
          <w:bCs/>
          <w:sz w:val="24"/>
          <w:szCs w:val="24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21346D" w:rsidRDefault="0021346D" w:rsidP="0021346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Участниците следва да декларират, че приемат условията за изпълнение на обществената поръчка, заложени в приложения към поканата за участие проект на договор и настоящата техническа спецификация.</w:t>
      </w:r>
    </w:p>
    <w:p w:rsidR="0021346D" w:rsidRDefault="0021346D" w:rsidP="0021346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Участниците следва да декларират, че предложенията им са валидни 120 (сто  и двадесет) дни от крайния срок за подаване на офертите и ще остане обвързващо за тях като може да бъде прието по всяко време преди изтичане на този срок.</w:t>
      </w:r>
    </w:p>
    <w:bookmarkEnd w:id="5"/>
    <w:bookmarkEnd w:id="6"/>
    <w:bookmarkEnd w:id="7"/>
    <w:bookmarkEnd w:id="10"/>
    <w:bookmarkEnd w:id="14"/>
    <w:bookmarkEnd w:id="15"/>
    <w:bookmarkEnd w:id="16"/>
    <w:bookmarkEnd w:id="18"/>
    <w:bookmarkEnd w:id="19"/>
    <w:p w:rsidR="0021346D" w:rsidRDefault="0021346D" w:rsidP="002134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FCB" w:rsidRDefault="00B54FCB"/>
    <w:sectPr w:rsidR="00B5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11E6A"/>
    <w:multiLevelType w:val="hybridMultilevel"/>
    <w:tmpl w:val="C93A29EE"/>
    <w:lvl w:ilvl="0" w:tplc="BCC2FD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45308"/>
    <w:multiLevelType w:val="hybridMultilevel"/>
    <w:tmpl w:val="53368DE4"/>
    <w:lvl w:ilvl="0" w:tplc="0A7C85B0">
      <w:start w:val="1"/>
      <w:numFmt w:val="upperRoman"/>
      <w:lvlText w:val="%1."/>
      <w:lvlJc w:val="left"/>
      <w:pPr>
        <w:ind w:left="698" w:hanging="720"/>
      </w:pPr>
    </w:lvl>
    <w:lvl w:ilvl="1" w:tplc="04020019">
      <w:start w:val="1"/>
      <w:numFmt w:val="lowerLetter"/>
      <w:lvlText w:val="%2."/>
      <w:lvlJc w:val="left"/>
      <w:pPr>
        <w:ind w:left="1058" w:hanging="360"/>
      </w:pPr>
    </w:lvl>
    <w:lvl w:ilvl="2" w:tplc="0402001B">
      <w:start w:val="1"/>
      <w:numFmt w:val="lowerRoman"/>
      <w:lvlText w:val="%3."/>
      <w:lvlJc w:val="right"/>
      <w:pPr>
        <w:ind w:left="1778" w:hanging="180"/>
      </w:pPr>
    </w:lvl>
    <w:lvl w:ilvl="3" w:tplc="0402000F">
      <w:start w:val="1"/>
      <w:numFmt w:val="decimal"/>
      <w:lvlText w:val="%4."/>
      <w:lvlJc w:val="left"/>
      <w:pPr>
        <w:ind w:left="2498" w:hanging="360"/>
      </w:pPr>
    </w:lvl>
    <w:lvl w:ilvl="4" w:tplc="04020019">
      <w:start w:val="1"/>
      <w:numFmt w:val="lowerLetter"/>
      <w:lvlText w:val="%5."/>
      <w:lvlJc w:val="left"/>
      <w:pPr>
        <w:ind w:left="3218" w:hanging="360"/>
      </w:pPr>
    </w:lvl>
    <w:lvl w:ilvl="5" w:tplc="0402001B">
      <w:start w:val="1"/>
      <w:numFmt w:val="lowerRoman"/>
      <w:lvlText w:val="%6."/>
      <w:lvlJc w:val="right"/>
      <w:pPr>
        <w:ind w:left="3938" w:hanging="180"/>
      </w:pPr>
    </w:lvl>
    <w:lvl w:ilvl="6" w:tplc="0402000F">
      <w:start w:val="1"/>
      <w:numFmt w:val="decimal"/>
      <w:lvlText w:val="%7."/>
      <w:lvlJc w:val="left"/>
      <w:pPr>
        <w:ind w:left="4658" w:hanging="360"/>
      </w:pPr>
    </w:lvl>
    <w:lvl w:ilvl="7" w:tplc="04020019">
      <w:start w:val="1"/>
      <w:numFmt w:val="lowerLetter"/>
      <w:lvlText w:val="%8."/>
      <w:lvlJc w:val="left"/>
      <w:pPr>
        <w:ind w:left="5378" w:hanging="360"/>
      </w:pPr>
    </w:lvl>
    <w:lvl w:ilvl="8" w:tplc="0402001B">
      <w:start w:val="1"/>
      <w:numFmt w:val="lowerRoman"/>
      <w:lvlText w:val="%9."/>
      <w:lvlJc w:val="right"/>
      <w:pPr>
        <w:ind w:left="6098" w:hanging="180"/>
      </w:pPr>
    </w:lvl>
  </w:abstractNum>
  <w:abstractNum w:abstractNumId="2" w15:restartNumberingAfterBreak="0">
    <w:nsid w:val="33F33426"/>
    <w:multiLevelType w:val="hybridMultilevel"/>
    <w:tmpl w:val="EAD20B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6D"/>
    <w:rsid w:val="000B0107"/>
    <w:rsid w:val="000F347E"/>
    <w:rsid w:val="0021346D"/>
    <w:rsid w:val="003C6658"/>
    <w:rsid w:val="006C3362"/>
    <w:rsid w:val="00B54FCB"/>
    <w:rsid w:val="00C6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968DA-5452-41FC-A73F-8E12B01C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4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46D"/>
    <w:pPr>
      <w:ind w:left="720"/>
      <w:contextualSpacing/>
    </w:pPr>
  </w:style>
  <w:style w:type="table" w:styleId="a4">
    <w:name w:val="Table Grid"/>
    <w:basedOn w:val="a1"/>
    <w:rsid w:val="00213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Angelova</dc:creator>
  <cp:keywords/>
  <dc:description/>
  <cp:lastModifiedBy>Silvia Angelova</cp:lastModifiedBy>
  <cp:revision>6</cp:revision>
  <dcterms:created xsi:type="dcterms:W3CDTF">2019-05-09T11:18:00Z</dcterms:created>
  <dcterms:modified xsi:type="dcterms:W3CDTF">2019-05-17T13:18:00Z</dcterms:modified>
</cp:coreProperties>
</file>